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Fuente y Tamaño: Utilice la fuente Times New Roman,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Estilo de Citación: Se solicita utilizar el estilo de citación APA (American Psychological Association) o, de ser necesario, el estilo IEEE (Institute of Electrical and Electronics Engineers) para las citas y referencias.</w:t>
      </w:r>
    </w:p>
    <w:p w14:paraId="70A4C3D5" w14:textId="77777777" w:rsidR="00AE3E87" w:rsidRDefault="00000000">
      <w:pPr>
        <w:numPr>
          <w:ilvl w:val="0"/>
          <w:numId w:val="5"/>
        </w:numPr>
        <w:jc w:val="both"/>
      </w:pPr>
      <w:r>
        <w:t>DOIs: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(Power,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(Arens,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(Appelbaum, Kogan, &amp; Vasarhelyi, 2017).</w:t>
      </w:r>
    </w:p>
    <w:p w14:paraId="4F376F1B" w14:textId="793FB58B" w:rsidR="00A23F49" w:rsidRPr="00C324DD" w:rsidRDefault="00000000">
      <w:pPr>
        <w:jc w:val="both"/>
        <w:rPr>
          <w:i/>
          <w:strike/>
        </w:rPr>
      </w:pPr>
      <w:r w:rsidRPr="00C324DD">
        <w:rPr>
          <w:i/>
          <w:strike/>
        </w:rPr>
        <w:t>El desarrollo de normas internacionales, como las NIAs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Prawitt, &amp; Messier,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77777777"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C324DD" w:rsidRPr="00C324DD">
            <w:rPr>
              <w:i/>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1DD0FE7"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 la recuperación inteligente de datos y muchas más</w:t>
      </w:r>
      <w:r w:rsidR="009F50BB" w:rsidRPr="00C324DD">
        <w:rPr>
          <w:i/>
        </w:rPr>
        <w:t xml:space="preserve"> </w:t>
      </w:r>
      <w:sdt>
        <w:sdtPr>
          <w:rPr>
            <w:i/>
          </w:rPr>
          <w:id w:val="227819450"/>
          <w:citation/>
        </w:sdtPr>
        <w:sdtContent>
          <w:r w:rsidR="009F50BB" w:rsidRPr="00C324DD">
            <w:rPr>
              <w:i/>
            </w:rPr>
            <w:fldChar w:fldCharType="begin"/>
          </w:r>
          <w:r w:rsidR="009F50BB" w:rsidRPr="00C324DD">
            <w:rPr>
              <w:i/>
            </w:rPr>
            <w:instrText xml:space="preserve">CITATION Dat21 \l 12298 </w:instrText>
          </w:r>
          <w:r w:rsidR="009F50BB" w:rsidRPr="00C324DD">
            <w:rPr>
              <w:i/>
            </w:rPr>
            <w:fldChar w:fldCharType="separate"/>
          </w:r>
          <w:r w:rsidR="00C324DD" w:rsidRPr="00C324DD">
            <w:rPr>
              <w:i/>
            </w:rPr>
            <w:t>(Rossi, 2021)</w:t>
          </w:r>
          <w:r w:rsidR="009F50BB" w:rsidRPr="00C324DD">
            <w:rPr>
              <w:i/>
            </w:rPr>
            <w:fldChar w:fldCharType="end"/>
          </w:r>
        </w:sdtContent>
      </w:sdt>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C324DD" w:rsidRPr="00C324DD">
            <w:rPr>
              <w:i/>
            </w:rPr>
            <w:t>(Rani, 2020)</w:t>
          </w:r>
          <w:r w:rsidR="009F50BB" w:rsidRPr="00C324DD">
            <w:rPr>
              <w:i/>
            </w:rPr>
            <w:fldChar w:fldCharType="end"/>
          </w:r>
        </w:sdtContent>
      </w:sdt>
      <w:r w:rsidRPr="00C324DD">
        <w:rPr>
          <w:i/>
        </w:rPr>
        <w:t>.</w:t>
      </w:r>
    </w:p>
    <w:p w14:paraId="1C2482D2" w14:textId="3F96360D"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C324DD" w:rsidRPr="00C324DD">
            <w:rPr>
              <w:i/>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5457BD11" w14:textId="0C3E9DB8" w:rsidR="00B00B62"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B00B62">
        <w:rPr>
          <w:i/>
        </w:rPr>
        <w:t>en</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r w:rsidR="00B00B62">
        <w:rPr>
          <w:i/>
        </w:rPr>
        <w:t xml:space="preserve">Para esto, las áreas claves de la carrera contemplan </w:t>
      </w:r>
      <w:r w:rsidR="00800C1B" w:rsidRPr="00800C1B">
        <w:rPr>
          <w:i/>
        </w:rPr>
        <w:t xml:space="preserve">una estructura que avanza desde </w:t>
      </w:r>
      <w:r w:rsidR="00B00B62">
        <w:rPr>
          <w:i/>
        </w:rPr>
        <w:t xml:space="preserve">las </w:t>
      </w:r>
      <w:r w:rsidR="00800C1B">
        <w:rPr>
          <w:i/>
        </w:rPr>
        <w:t xml:space="preserve">bases </w:t>
      </w:r>
      <w:r w:rsidR="00800C1B" w:rsidRPr="00800C1B">
        <w:rPr>
          <w:i/>
        </w:rPr>
        <w:t>matemáticas</w:t>
      </w:r>
      <w:r w:rsidR="00800C1B" w:rsidRPr="00800C1B">
        <w:rPr>
          <w:i/>
        </w:rPr>
        <w:t xml:space="preserve"> y estadístic</w:t>
      </w:r>
      <w:r w:rsidR="00800C1B">
        <w:rPr>
          <w:i/>
        </w:rPr>
        <w:t>a</w:t>
      </w:r>
      <w:r w:rsidR="00800C1B" w:rsidRPr="00800C1B">
        <w:rPr>
          <w:i/>
        </w:rPr>
        <w:t xml:space="preserve">s, pasando por programación, hasta llegar a cursos aplicados en machine learning, ética </w:t>
      </w:r>
      <w:r w:rsidR="00B00B62">
        <w:rPr>
          <w:i/>
        </w:rPr>
        <w:t xml:space="preserve">en ciencia </w:t>
      </w:r>
      <w:r w:rsidR="00800C1B" w:rsidRPr="00800C1B">
        <w:rPr>
          <w:i/>
        </w:rPr>
        <w:t>de datos y</w:t>
      </w:r>
      <w:r w:rsidR="00B00B62">
        <w:rPr>
          <w:i/>
        </w:rPr>
        <w:t xml:space="preserve"> manejo de grandes volúmenes de datos</w:t>
      </w:r>
      <w:r w:rsidR="00800C1B" w:rsidRPr="00800C1B">
        <w:rPr>
          <w:i/>
        </w:rPr>
        <w:t>.</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(NIAs)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(Appelbaum, Kogan, &amp; Vasarhelyi,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F33FFB4" w14:textId="78E5758D" w:rsidR="00BD0908" w:rsidRDefault="00BD0908">
      <w:pPr>
        <w:rPr>
          <w:iCs/>
        </w:rPr>
      </w:pPr>
      <w:r>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Default="00000000">
      <w:pPr>
        <w:jc w:val="both"/>
        <w:rPr>
          <w:i/>
        </w:rPr>
      </w:pPr>
      <w:r>
        <w:rPr>
          <w:i/>
        </w:rPr>
        <w:t>La carrera de Auditoría se vincula directamente con el Plan de Desarrollo para el Nuevo Ecuador 2024-2025, que establece directrices para el diseño y aplicación de políticas públicas en el país (Secretaría Nacional de Planificación, 2024). 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Default="00000000">
      <w:pPr>
        <w:jc w:val="both"/>
        <w:rPr>
          <w:i/>
        </w:rPr>
      </w:pPr>
      <w:r>
        <w:rPr>
          <w:i/>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Default="00000000">
      <w:pPr>
        <w:jc w:val="both"/>
        <w:rPr>
          <w:i/>
        </w:rPr>
      </w:pPr>
      <w:r>
        <w:rPr>
          <w:i/>
        </w:rPr>
        <w:t>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on Sustainability Assurance (ISSA) 5000, para preparar a los graduados a verificar la calidad y credibilidad de la información relacionada con la sostenibilidad en organizaciones modernas.</w:t>
      </w:r>
    </w:p>
    <w:p w14:paraId="70D90243" w14:textId="77777777" w:rsidR="00AE3E87" w:rsidRDefault="00000000">
      <w:pPr>
        <w:jc w:val="both"/>
        <w:rPr>
          <w:i/>
        </w:rPr>
      </w:pPr>
      <w:r>
        <w:rPr>
          <w:i/>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77777777" w:rsidR="00AE3E87" w:rsidRDefault="00000000">
      <w:pPr>
        <w:jc w:val="both"/>
        <w:rPr>
          <w:i/>
        </w:rPr>
      </w:pPr>
      <w:r>
        <w:rPr>
          <w:i/>
        </w:rPr>
        <w:t>Este enfoque, respaldado por la voz de múltiples actores, asegura que la carrera de Auditoría forme profesionales capaces de enfrentar desafíos contemporáneos y contribuir de manera significativa al desarrollo social y económico.</w:t>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t>La carrera de Auditoría se alinea con 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on Sustainability Assurance (ISSA) 5000.</w:t>
      </w:r>
    </w:p>
    <w:p w14:paraId="28E1F84D" w14:textId="77777777" w:rsidR="00AE3E87" w:rsidRDefault="00000000">
      <w:pPr>
        <w:jc w:val="both"/>
        <w:rPr>
          <w:i/>
        </w:rPr>
      </w:pPr>
      <w:r>
        <w:rPr>
          <w:i/>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w:t>
      </w:r>
      <w:r>
        <w:rPr>
          <w:i/>
        </w:rPr>
        <w:lastRenderedPageBreak/>
        <w:t>adquieren habilidades críticas en la aplicación de normas internacionales, como, las NIIF, las NIAs, estándares de sostenibilidad (e.g.,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77777777" w:rsidR="00AE3E87" w:rsidRDefault="00000000">
      <w:pPr>
        <w:jc w:val="both"/>
        <w:rPr>
          <w:rFonts w:ascii="Calibri" w:eastAsia="Calibri" w:hAnsi="Calibri" w:cs="Calibri"/>
          <w:b/>
          <w:sz w:val="26"/>
          <w:szCs w:val="26"/>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(the Big Four global accounting firms), colegios profesionales y redes nacionales e internacionales, los estudiantes adquieren experiencia en prácticas reales, alineadas con estándares globales.</w:t>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“World Economic Forum”,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En la disciplina de auditoría, surgen varias tendencias emergentes impulsadas por la evolución tecnológica, la globalización y las demandas de sostenibilidad. Una de las más destacadas es la digitalización de los procesos de auditoría, donde herramientas como el análisis de big data, la inteligencia artificial (IA) y la Robotic Process Automation (RPA) están transformando las formas tradicionales de trabajo, permitiendo auditorías más rápidas, precisas y basadas en datos en tiempo real (Appelbaum, Kogan, &amp; Vasarhelyi, 2017).</w:t>
      </w:r>
    </w:p>
    <w:p w14:paraId="36E7A25B" w14:textId="77777777" w:rsidR="00AE3E87" w:rsidRDefault="00000000">
      <w:pPr>
        <w:jc w:val="both"/>
        <w:rPr>
          <w:i/>
        </w:rPr>
      </w:pPr>
      <w:r>
        <w:rPr>
          <w:i/>
        </w:rPr>
        <w:t>Otra tendencia clave es el crecimiento de la auditoría de sostenibilidad, que evalúa el desempeño ambiental, social y de gobernanza (ESG) de las organizaciones. Esto ha sido impulsado por estándares internacionales como la International Standard on Sustainability Assurance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77777777" w:rsidR="00AE3E87"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0FE6A6FE"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lastRenderedPageBreak/>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77777777" w:rsidR="00AE3E87" w:rsidRDefault="00000000">
      <w:pPr>
        <w:spacing w:after="0"/>
        <w:jc w:val="both"/>
        <w:rPr>
          <w:i/>
        </w:rPr>
      </w:pPr>
      <w:r>
        <w:rPr>
          <w:i/>
        </w:rPr>
        <w:t>La carrera de Auditoría se alinea con estudios prospectivos y marcos internacionales que anticipan el futuro de la profesión al integrar competencias y conocimientos clave basados en informes globales y estándares reconocidos. Por ejemplo, el Future of Jobs Report del Foro Económico Mundial destaca habilidades esenciales como el análisis de datos, la sostenibilidad y la gestión de riesgos tecnológicos, todas ellas integradas en el área disciplinar (World Economic Forum, 2023). Asimismo, el informe Innovation in Audit and Assurance del IAASB resalta tecnologías emergentes como la inteligencia artificial, la automatización de procesos robóticos (RPA) y la criptografía homomórfica, que están transformando las prácticas de auditoría en términos de eficiencia, precisión y sostenibilidad (Seidenstein et al., 2024).</w:t>
      </w:r>
    </w:p>
    <w:p w14:paraId="76BFBE05"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 xml:space="preserve">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w:t>
      </w:r>
      <w:r>
        <w:rPr>
          <w:i/>
        </w:rPr>
        <w:lastRenderedPageBreak/>
        <w:t>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t>Analizar</w:t>
      </w:r>
      <w:r>
        <w:rPr>
          <w:i/>
        </w:rPr>
        <w:t xml:space="preserve"> grandes volúmenes de datos estructurados y no estructurados </w:t>
      </w:r>
      <w:r>
        <w:rPr>
          <w:b/>
          <w:i/>
        </w:rPr>
        <w:t>mediante</w:t>
      </w:r>
      <w:r>
        <w:rPr>
          <w:i/>
        </w:rPr>
        <w:t xml:space="preserve"> el uso de técnicas de big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Robotic Process Automation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Involucra la implementación de tecnologías avanzadas, como inteligencia artificial, big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lastRenderedPageBreak/>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¿Incluye ámbitos en de-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1DB1EB8A" w14:textId="77777777" w:rsidR="00C324DD" w:rsidRDefault="008403D5" w:rsidP="00C324DD">
              <w:pPr>
                <w:pStyle w:val="Bibliografa"/>
                <w:ind w:left="720" w:hanging="720"/>
                <w:rPr>
                  <w:noProof/>
                  <w:sz w:val="24"/>
                  <w:szCs w:val="24"/>
                </w:rPr>
              </w:pPr>
              <w:r>
                <w:fldChar w:fldCharType="begin"/>
              </w:r>
              <w:r>
                <w:instrText>BIBLIOGRAPHY</w:instrText>
              </w:r>
              <w:r>
                <w:fldChar w:fldCharType="separate"/>
              </w:r>
              <w:r w:rsidR="00C324DD">
                <w:rPr>
                  <w:noProof/>
                </w:rPr>
                <w:t xml:space="preserve">Assur, N. (10 de Abril de 2025). </w:t>
              </w:r>
              <w:r w:rsidR="00C324DD" w:rsidRPr="00C324DD">
                <w:rPr>
                  <w:i/>
                  <w:iCs/>
                  <w:noProof/>
                  <w:lang w:val="en-US"/>
                </w:rPr>
                <w:t>The data-driven enterprise of 2025</w:t>
              </w:r>
              <w:r w:rsidR="00C324DD" w:rsidRPr="00C324DD">
                <w:rPr>
                  <w:noProof/>
                  <w:lang w:val="en-US"/>
                </w:rPr>
                <w:t xml:space="preserve">. </w:t>
              </w:r>
              <w:r w:rsidR="00C324DD">
                <w:rPr>
                  <w:noProof/>
                </w:rPr>
                <w:t>Obtenido de QuantumBlack AI: https://www.mckinsey.com/capabilities/quantumblack/our-insights/the-data-driven-enterprise-of-2025</w:t>
              </w:r>
            </w:p>
            <w:p w14:paraId="4DA5DBF5" w14:textId="77777777" w:rsidR="00C324DD" w:rsidRPr="00C324DD" w:rsidRDefault="00C324DD" w:rsidP="00C324DD">
              <w:pPr>
                <w:pStyle w:val="Bibliografa"/>
                <w:ind w:left="720" w:hanging="720"/>
                <w:rPr>
                  <w:noProof/>
                  <w:lang w:val="en-US"/>
                </w:rPr>
              </w:pPr>
              <w:r>
                <w:rPr>
                  <w:noProof/>
                </w:rPr>
                <w:t xml:space="preserve">Domingos, P. (13 de Febrero de 2018). </w:t>
              </w:r>
              <w:r w:rsidRPr="00C324DD">
                <w:rPr>
                  <w:noProof/>
                  <w:lang w:val="en-US"/>
                </w:rPr>
                <w:t xml:space="preserve">The Master Algorithm: How the Quest for the Ultimate Learning Machine Will Remake Our World. </w:t>
              </w:r>
              <w:r w:rsidRPr="00C324DD">
                <w:rPr>
                  <w:i/>
                  <w:iCs/>
                  <w:noProof/>
                  <w:lang w:val="en-US"/>
                </w:rPr>
                <w:t>Basic Books</w:t>
              </w:r>
              <w:r w:rsidRPr="00C324DD">
                <w:rPr>
                  <w:noProof/>
                  <w:lang w:val="en-US"/>
                </w:rPr>
                <w:t>, pág. 352.</w:t>
              </w:r>
            </w:p>
            <w:p w14:paraId="6EF42323" w14:textId="77777777" w:rsidR="00C324DD" w:rsidRPr="00C324DD" w:rsidRDefault="00C324DD" w:rsidP="00C324DD">
              <w:pPr>
                <w:pStyle w:val="Bibliografa"/>
                <w:ind w:left="720" w:hanging="720"/>
                <w:rPr>
                  <w:noProof/>
                  <w:lang w:val="en-US"/>
                </w:rPr>
              </w:pPr>
              <w:r w:rsidRPr="00C324DD">
                <w:rPr>
                  <w:noProof/>
                  <w:lang w:val="en-US"/>
                </w:rPr>
                <w:t xml:space="preserve">Rani, P. (2020). A Comprehensive Survey of Artificial Intelligence (AI): Principles, Techniques, and Applications. </w:t>
              </w:r>
              <w:r w:rsidRPr="00C324DD">
                <w:rPr>
                  <w:i/>
                  <w:iCs/>
                  <w:noProof/>
                  <w:lang w:val="en-US"/>
                </w:rPr>
                <w:t>Turkish Journal of Computer and Mathematics Education (TURCOMAT)</w:t>
              </w:r>
              <w:r w:rsidRPr="00C324DD">
                <w:rPr>
                  <w:noProof/>
                  <w:lang w:val="en-US"/>
                </w:rPr>
                <w:t>, págs. 1990 - 2000.</w:t>
              </w:r>
            </w:p>
            <w:p w14:paraId="26F4ED74" w14:textId="77777777" w:rsidR="00C324DD" w:rsidRPr="00C324DD" w:rsidRDefault="00C324DD" w:rsidP="00C324DD">
              <w:pPr>
                <w:pStyle w:val="Bibliografa"/>
                <w:ind w:left="720" w:hanging="720"/>
                <w:rPr>
                  <w:noProof/>
                  <w:lang w:val="en-US"/>
                </w:rPr>
              </w:pPr>
              <w:r w:rsidRPr="00C324DD">
                <w:rPr>
                  <w:noProof/>
                  <w:lang w:val="en-US"/>
                </w:rPr>
                <w:t xml:space="preserve">Rossi, R. (2021). Data Science in Perspective. </w:t>
              </w:r>
              <w:r w:rsidRPr="00C324DD">
                <w:rPr>
                  <w:i/>
                  <w:iCs/>
                  <w:noProof/>
                  <w:lang w:val="en-US"/>
                </w:rPr>
                <w:t>Information Society Conference - i-Society 2021</w:t>
              </w:r>
              <w:r w:rsidRPr="00C324DD">
                <w:rPr>
                  <w:noProof/>
                  <w:lang w:val="en-US"/>
                </w:rPr>
                <w:t>.</w:t>
              </w:r>
            </w:p>
            <w:p w14:paraId="2944871F" w14:textId="00BBEFF5" w:rsidR="008403D5" w:rsidRDefault="008403D5" w:rsidP="00C324DD">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r>
              <w:rPr>
                <w:sz w:val="22"/>
                <w:szCs w:val="22"/>
              </w:rPr>
              <w:t xml:space="preserve">Subdecano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r>
        <w:rPr>
          <w:i/>
        </w:rPr>
        <w:t>Msc. Jorge Pérez – Profesor titular</w:t>
      </w:r>
    </w:p>
    <w:p w14:paraId="0A4C77DE" w14:textId="77777777" w:rsidR="00AE3E87" w:rsidRDefault="00000000">
      <w:pPr>
        <w:numPr>
          <w:ilvl w:val="0"/>
          <w:numId w:val="17"/>
        </w:numPr>
        <w:rPr>
          <w:i/>
        </w:rPr>
      </w:pPr>
      <w:r>
        <w:rPr>
          <w:i/>
        </w:rPr>
        <w:t>Msc.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r>
        <w:rPr>
          <w:i/>
        </w:rPr>
        <w:t>Msc.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E6AF4" w14:textId="77777777" w:rsidR="000F0F6A" w:rsidRDefault="000F0F6A">
      <w:pPr>
        <w:spacing w:after="0" w:line="240" w:lineRule="auto"/>
      </w:pPr>
      <w:r>
        <w:separator/>
      </w:r>
    </w:p>
  </w:endnote>
  <w:endnote w:type="continuationSeparator" w:id="0">
    <w:p w14:paraId="214606A6" w14:textId="77777777" w:rsidR="000F0F6A" w:rsidRDefault="000F0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B1BF810-79ED-43ED-B39F-0212BF20631C}"/>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BDCA28A0-D0BE-41D4-9D83-66B2857A97F7}"/>
  </w:font>
  <w:font w:name="Calibri">
    <w:panose1 w:val="020F0502020204030204"/>
    <w:charset w:val="00"/>
    <w:family w:val="swiss"/>
    <w:pitch w:val="variable"/>
    <w:sig w:usb0="E4002EFF" w:usb1="C200247B" w:usb2="00000009" w:usb3="00000000" w:csb0="000001FF" w:csb1="00000000"/>
    <w:embedRegular r:id="rId3" w:fontKey="{E7F1BB04-8F14-414C-84F2-C8D799ACB3B5}"/>
    <w:embedBold r:id="rId4" w:fontKey="{AC49BE54-BFE3-4399-9F4C-96D71ED7889A}"/>
    <w:embedItalic r:id="rId5" w:fontKey="{968AF86A-CC82-4152-AE5C-47E6C287DB65}"/>
    <w:embedBoldItalic r:id="rId6" w:fontKey="{1CD96B05-A6CD-4DE7-A029-B2CDE2AC825E}"/>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1DF3594E-38B3-4C42-9604-BD5C90C3BB7D}"/>
  </w:font>
  <w:font w:name="Quattrocento Sans">
    <w:charset w:val="00"/>
    <w:family w:val="swiss"/>
    <w:pitch w:val="variable"/>
    <w:sig w:usb0="800000BF" w:usb1="4000005B" w:usb2="00000000" w:usb3="00000000" w:csb0="00000001" w:csb1="00000000"/>
    <w:embedRegular r:id="rId8" w:fontKey="{0B00424F-9B7B-41C6-BF6C-0D3381240737}"/>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9BA97E32-C54D-4671-824A-C8CF1EEF18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B0DED" w14:textId="77777777" w:rsidR="000F0F6A" w:rsidRDefault="000F0F6A">
      <w:pPr>
        <w:spacing w:after="0" w:line="240" w:lineRule="auto"/>
      </w:pPr>
      <w:r>
        <w:separator/>
      </w:r>
    </w:p>
  </w:footnote>
  <w:footnote w:type="continuationSeparator" w:id="0">
    <w:p w14:paraId="2DC95C04" w14:textId="77777777" w:rsidR="000F0F6A" w:rsidRDefault="000F0F6A">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522A2"/>
    <w:rsid w:val="000C54CE"/>
    <w:rsid w:val="000F0F6A"/>
    <w:rsid w:val="001230A7"/>
    <w:rsid w:val="00283E9C"/>
    <w:rsid w:val="002861D6"/>
    <w:rsid w:val="00366FBA"/>
    <w:rsid w:val="003C30F5"/>
    <w:rsid w:val="00483552"/>
    <w:rsid w:val="0052578E"/>
    <w:rsid w:val="005738C2"/>
    <w:rsid w:val="005D3767"/>
    <w:rsid w:val="006D3EEC"/>
    <w:rsid w:val="007849E6"/>
    <w:rsid w:val="00796B3D"/>
    <w:rsid w:val="007A4037"/>
    <w:rsid w:val="007E7A33"/>
    <w:rsid w:val="00800C1B"/>
    <w:rsid w:val="008403D5"/>
    <w:rsid w:val="00887DE2"/>
    <w:rsid w:val="00935C8A"/>
    <w:rsid w:val="009524DC"/>
    <w:rsid w:val="00973A0F"/>
    <w:rsid w:val="009B6C55"/>
    <w:rsid w:val="009E7CB7"/>
    <w:rsid w:val="009F50BB"/>
    <w:rsid w:val="00A23F49"/>
    <w:rsid w:val="00AA3B4A"/>
    <w:rsid w:val="00AD794D"/>
    <w:rsid w:val="00AE3E87"/>
    <w:rsid w:val="00B00B62"/>
    <w:rsid w:val="00B72117"/>
    <w:rsid w:val="00BD0908"/>
    <w:rsid w:val="00C324DD"/>
    <w:rsid w:val="00CA6C72"/>
    <w:rsid w:val="00CC4B99"/>
    <w:rsid w:val="00CE21DB"/>
    <w:rsid w:val="00CF0165"/>
    <w:rsid w:val="00D21409"/>
    <w:rsid w:val="00D31B7C"/>
    <w:rsid w:val="00D52F28"/>
    <w:rsid w:val="00D638C5"/>
    <w:rsid w:val="00DE2B77"/>
    <w:rsid w:val="00DE5D63"/>
    <w:rsid w:val="00DF477F"/>
    <w:rsid w:val="00E93647"/>
    <w:rsid w:val="00EE6673"/>
    <w:rsid w:val="00FE5D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D3A1986B-37DF-4B72-A98D-3235A747D9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1</Pages>
  <Words>6191</Words>
  <Characters>34053</Characters>
  <Application>Microsoft Office Word</Application>
  <DocSecurity>0</DocSecurity>
  <Lines>283</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23</cp:revision>
  <dcterms:created xsi:type="dcterms:W3CDTF">2025-01-15T03:43:00Z</dcterms:created>
  <dcterms:modified xsi:type="dcterms:W3CDTF">2025-04-10T20:55:00Z</dcterms:modified>
</cp:coreProperties>
</file>